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D33" w:rsidRDefault="00364D33">
      <w:pPr>
        <w:rPr>
          <w:sz w:val="2"/>
          <w:szCs w:val="2"/>
        </w:rPr>
      </w:pPr>
    </w:p>
    <w:p w:rsidR="00364D33" w:rsidRDefault="00364D33">
      <w:pPr>
        <w:framePr w:w="9643" w:wrap="notBeside" w:vAnchor="text" w:hAnchor="text" w:xAlign="center" w:y="1"/>
        <w:rPr>
          <w:sz w:val="2"/>
          <w:szCs w:val="2"/>
        </w:rPr>
      </w:pPr>
    </w:p>
    <w:p w:rsidR="00361F26" w:rsidRPr="00361F26" w:rsidRDefault="00361F26" w:rsidP="00361F26">
      <w:pPr>
        <w:widowControl/>
        <w:spacing w:after="150"/>
        <w:outlineLvl w:val="0"/>
        <w:rPr>
          <w:rFonts w:ascii="Times New Roman" w:eastAsia="Times New Roman" w:hAnsi="Times New Roman" w:cs="Times New Roman"/>
          <w:color w:val="auto"/>
          <w:kern w:val="36"/>
          <w:sz w:val="42"/>
          <w:szCs w:val="42"/>
          <w:lang w:bidi="ar-SA"/>
        </w:rPr>
      </w:pPr>
      <w:r w:rsidRPr="00361F26">
        <w:rPr>
          <w:rFonts w:ascii="Times New Roman" w:eastAsia="Times New Roman" w:hAnsi="Times New Roman" w:cs="Times New Roman"/>
          <w:color w:val="auto"/>
          <w:kern w:val="36"/>
          <w:sz w:val="42"/>
          <w:szCs w:val="42"/>
          <w:lang w:bidi="ar-SA"/>
        </w:rPr>
        <w:br/>
        <w:t>2. Показатели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39"/>
        <w:gridCol w:w="2340"/>
        <w:gridCol w:w="852"/>
        <w:gridCol w:w="852"/>
        <w:gridCol w:w="1582"/>
        <w:gridCol w:w="2199"/>
      </w:tblGrid>
      <w:tr w:rsidR="00361F26" w:rsidRPr="00361F26" w:rsidTr="00361F26">
        <w:tc>
          <w:tcPr>
            <w:tcW w:w="2145" w:type="dxa"/>
            <w:vMerge w:val="restart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Направления деятельности</w:t>
            </w:r>
          </w:p>
        </w:tc>
        <w:tc>
          <w:tcPr>
            <w:tcW w:w="2805" w:type="dxa"/>
            <w:vMerge w:val="restart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Показатель</w:t>
            </w:r>
          </w:p>
        </w:tc>
        <w:tc>
          <w:tcPr>
            <w:tcW w:w="6090" w:type="dxa"/>
            <w:gridSpan w:val="3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Значения</w:t>
            </w:r>
          </w:p>
        </w:tc>
        <w:tc>
          <w:tcPr>
            <w:tcW w:w="2265" w:type="dxa"/>
            <w:vMerge w:val="restart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Ссылка на информационный ресурс (базу данных)</w:t>
            </w:r>
          </w:p>
        </w:tc>
      </w:tr>
      <w:tr w:rsidR="00361F26" w:rsidRPr="00361F26" w:rsidTr="00361F26">
        <w:tc>
          <w:tcPr>
            <w:tcW w:w="0" w:type="auto"/>
            <w:vMerge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vAlign w:val="center"/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0" w:type="auto"/>
            <w:vMerge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vAlign w:val="center"/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2019</w:t>
            </w: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2020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2021</w:t>
            </w:r>
          </w:p>
        </w:tc>
        <w:tc>
          <w:tcPr>
            <w:tcW w:w="0" w:type="auto"/>
            <w:vMerge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vAlign w:val="center"/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2145" w:type="dxa"/>
            <w:vMerge w:val="restart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Выявление профессиональных дефицитов педагогических работников</w:t>
            </w: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Доля учителей (преподавателей), прошедших диагностику по наличию дефицитов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3%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0" w:type="auto"/>
            <w:vMerge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vAlign w:val="center"/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 том числе дистанционно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2145" w:type="dxa"/>
            <w:vMerge w:val="restart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Учет индивидуальных образовательных маршрутов совершенствования профессионального мастерства педагогических работников, разработанных на основе профессиональных дефицитов</w:t>
            </w: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Доля адресных программ ДПО, разработанных на основе индивидуальных результатов запросов образовательных организаций или диагностики профессиональных дефицитов педагогов, в том числе реализуемых дистанционно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1 квартал 2021 года </w:t>
            </w:r>
            <w:proofErr w:type="gramStart"/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разработаны</w:t>
            </w:r>
            <w:proofErr w:type="gramEnd"/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9 новых программ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0" w:type="auto"/>
            <w:vMerge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vAlign w:val="center"/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Доля педагогов, прошедших программы ДПО по индивидуальным образовательным траекториям с целью устранения профессиональных дефицитов для прохождения аттестации на получение квалификационной категории, в том числе </w:t>
            </w: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>дистанционно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25</w:t>
            </w: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% (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167 </w:t>
            </w: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чел.)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214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Доля адресных дополнительных профессиональных программ повышения квалификации от общего числа программ ПК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10%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214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Осуществление профессиональной переподготовки по образовательным программам педагогической направленности</w:t>
            </w: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Доля специалистов, прошедших программу переподготовки по ОП педагогической направленности, в том числе не имеющих первого педагогического образования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100 %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214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Развитие цифровой образовательной среды ДПО педагогических работников</w:t>
            </w: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Доля педагогических работников, имеющих цифровое </w:t>
            </w:r>
            <w:proofErr w:type="spellStart"/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портфолио</w:t>
            </w:r>
            <w:proofErr w:type="spellEnd"/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в ГИС «Образование»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2145" w:type="dxa"/>
            <w:vMerge w:val="restart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Вовлечение педагогов в экспертную деятельность</w:t>
            </w: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Доля педагогических работников, вовлеченных в экспертную деятельность (эксперты предметных комиссий ГИА, ВОШ, WORLDSKILLS RUSSIA, </w:t>
            </w:r>
            <w:proofErr w:type="spellStart"/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Абилимпикс</w:t>
            </w:r>
            <w:proofErr w:type="spellEnd"/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и т.д.)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9</w:t>
            </w: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,2 %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0" w:type="auto"/>
            <w:vMerge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vAlign w:val="center"/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Доля педагогов-практиков, вовлеченных в реализацию и экспертизу </w:t>
            </w: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>программ ДПО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214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lastRenderedPageBreak/>
              <w:t> </w:t>
            </w: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Доля программ ДПО предусматривающие дисциплины (модули) по профилактике профессионального выгорания.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</w:t>
            </w: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%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2145" w:type="dxa"/>
            <w:vMerge w:val="restart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Осуществление профессиональной переподготовки по образовательным программам педагогической направленности</w:t>
            </w: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Доля слушателей, прошедших профессиональную переподготовку и получившие новые компетенции с учетом потребностей регионального рынка труда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100 %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0" w:type="auto"/>
            <w:vMerge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vAlign w:val="center"/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Доля педагогов, имеющих базовое не педагогическое образование, освоивших программы профессиональной переподготовки по образовательным программам педагогической направленности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D377A3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13%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2145" w:type="dxa"/>
            <w:vMerge w:val="restart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Формирование методического актива</w:t>
            </w: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Доля руководителей методических муниципальных служб (далее – ММС), прошедших согласование в </w:t>
            </w:r>
            <w:proofErr w:type="spellStart"/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МОиН</w:t>
            </w:r>
            <w:proofErr w:type="spellEnd"/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РБ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0" w:type="auto"/>
            <w:vMerge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vAlign w:val="center"/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Доля методистов ММС с учетом руководителей МО и/или профессиональны</w:t>
            </w: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>х сообществ, соответствующих квалификационным требованиям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2145" w:type="dxa"/>
            <w:vMerge w:val="restart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>Поддержка молодых педагогов и (или) реализация программ наставничества</w:t>
            </w: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Количество ММС, реализующих системы поддержки молодых специалистов</w:t>
            </w:r>
          </w:p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(оказание методической помощи, финансовой поддержки, школа молодого педагога, клуба наставников)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100 %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0" w:type="auto"/>
            <w:vMerge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vAlign w:val="center"/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Количество ММС, </w:t>
            </w:r>
            <w:proofErr w:type="gramStart"/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реализующих</w:t>
            </w:r>
            <w:proofErr w:type="gramEnd"/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системы наставничества</w:t>
            </w:r>
          </w:p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(оказание методической помощи, финансовой поддержки, школа молодого педагога, клуба наставников)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100 %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0" w:type="auto"/>
            <w:vMerge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vAlign w:val="center"/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Доля молодых педагогов, имеющих профессиональные дефициты и получившие методическую помощь по их устранению (по составлению рабочих программ, </w:t>
            </w:r>
            <w:proofErr w:type="spellStart"/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КИМов</w:t>
            </w:r>
            <w:proofErr w:type="spellEnd"/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 методике преподавания и т.д.)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0" w:type="auto"/>
            <w:vMerge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vAlign w:val="center"/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Доля молодых </w:t>
            </w: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>педагогов, принявших участие в конкурсах профессионального педагогического мастерства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</w:t>
            </w: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%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0" w:type="auto"/>
            <w:vMerge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vAlign w:val="center"/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D377A3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Количество проектов по поддержке молодых педагогов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214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Реализация сетевого взаимодействия педагогов</w:t>
            </w: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Доля педагогических работников, зарегистрированных на электронном ресурсе Республиканского экспертного совета (РЭС)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2145" w:type="dxa"/>
            <w:vMerge w:val="restart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Выявление кадровых потребностей в ОО РБ</w:t>
            </w: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Доля учителей, имеющих образование, соответствующее профилю преподаваемого предмета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61F2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нет данных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61F26" w:rsidRPr="00361F26" w:rsidTr="00361F26">
        <w:tc>
          <w:tcPr>
            <w:tcW w:w="0" w:type="auto"/>
            <w:vMerge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vAlign w:val="center"/>
            <w:hideMark/>
          </w:tcPr>
          <w:p w:rsidR="00361F26" w:rsidRPr="00361F26" w:rsidRDefault="00361F26" w:rsidP="00361F26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80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shd w:val="clear" w:color="auto" w:fill="F3F3F3"/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rPr>
                <w:rFonts w:ascii="Times New Roman" w:hAnsi="Times New Roman" w:cs="Times New Roman"/>
              </w:rPr>
            </w:pPr>
            <w:r w:rsidRPr="00361F26">
              <w:rPr>
                <w:rFonts w:ascii="Times New Roman" w:hAnsi="Times New Roman" w:cs="Times New Roman"/>
              </w:rPr>
              <w:t>Доля учителей, имеющих педагогическую нагрузку более 1 ставки</w:t>
            </w:r>
          </w:p>
        </w:tc>
        <w:tc>
          <w:tcPr>
            <w:tcW w:w="19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shd w:val="clear" w:color="auto" w:fill="F3F3F3"/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shd w:val="clear" w:color="auto" w:fill="F3F3F3"/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shd w:val="clear" w:color="auto" w:fill="F3F3F3"/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75%</w:t>
            </w:r>
          </w:p>
        </w:tc>
        <w:tc>
          <w:tcPr>
            <w:tcW w:w="2265" w:type="dxa"/>
            <w:tcBorders>
              <w:top w:val="single" w:sz="6" w:space="0" w:color="E4E5E5"/>
              <w:left w:val="single" w:sz="6" w:space="0" w:color="E4E5E5"/>
              <w:bottom w:val="single" w:sz="6" w:space="0" w:color="E4E5E5"/>
              <w:right w:val="single" w:sz="6" w:space="0" w:color="E4E5E5"/>
            </w:tcBorders>
            <w:shd w:val="clear" w:color="auto" w:fill="F3F3F3"/>
            <w:tcMar>
              <w:top w:w="105" w:type="dxa"/>
              <w:left w:w="210" w:type="dxa"/>
              <w:bottom w:w="105" w:type="dxa"/>
              <w:right w:w="210" w:type="dxa"/>
            </w:tcMar>
            <w:hideMark/>
          </w:tcPr>
          <w:p w:rsidR="00361F26" w:rsidRPr="00361F26" w:rsidRDefault="00361F26" w:rsidP="00361F26">
            <w:pPr>
              <w:rPr>
                <w:rFonts w:ascii="Times New Roman" w:hAnsi="Times New Roman" w:cs="Times New Roman"/>
              </w:rPr>
            </w:pPr>
          </w:p>
        </w:tc>
      </w:tr>
    </w:tbl>
    <w:p w:rsidR="00364D33" w:rsidRDefault="00364D33">
      <w:pPr>
        <w:rPr>
          <w:sz w:val="2"/>
          <w:szCs w:val="2"/>
        </w:rPr>
      </w:pPr>
    </w:p>
    <w:sectPr w:rsidR="00364D33" w:rsidSect="00364D33">
      <w:pgSz w:w="11900" w:h="16840"/>
      <w:pgMar w:top="996" w:right="718" w:bottom="1268" w:left="153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27E" w:rsidRDefault="00F6527E" w:rsidP="00364D33">
      <w:r>
        <w:separator/>
      </w:r>
    </w:p>
  </w:endnote>
  <w:endnote w:type="continuationSeparator" w:id="0">
    <w:p w:rsidR="00F6527E" w:rsidRDefault="00F6527E" w:rsidP="00364D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27E" w:rsidRDefault="00F6527E"/>
  </w:footnote>
  <w:footnote w:type="continuationSeparator" w:id="0">
    <w:p w:rsidR="00F6527E" w:rsidRDefault="00F6527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13827"/>
    <w:multiLevelType w:val="multilevel"/>
    <w:tmpl w:val="F64C88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0F0062"/>
    <w:multiLevelType w:val="multilevel"/>
    <w:tmpl w:val="D8B8B0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AC1547"/>
    <w:multiLevelType w:val="multilevel"/>
    <w:tmpl w:val="F06297D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D1F492C"/>
    <w:multiLevelType w:val="multilevel"/>
    <w:tmpl w:val="B82C1C9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68D0D3A"/>
    <w:multiLevelType w:val="multilevel"/>
    <w:tmpl w:val="5C549EC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3D57170"/>
    <w:multiLevelType w:val="multilevel"/>
    <w:tmpl w:val="DA78C6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364D33"/>
    <w:rsid w:val="000044A2"/>
    <w:rsid w:val="00361F26"/>
    <w:rsid w:val="00364D33"/>
    <w:rsid w:val="00C27670"/>
    <w:rsid w:val="00C33ACA"/>
    <w:rsid w:val="00C6692E"/>
    <w:rsid w:val="00D377A3"/>
    <w:rsid w:val="00D47C47"/>
    <w:rsid w:val="00D67B57"/>
    <w:rsid w:val="00F65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64D33"/>
    <w:rPr>
      <w:color w:val="000000"/>
    </w:rPr>
  </w:style>
  <w:style w:type="paragraph" w:styleId="1">
    <w:name w:val="heading 1"/>
    <w:basedOn w:val="a"/>
    <w:link w:val="10"/>
    <w:uiPriority w:val="9"/>
    <w:qFormat/>
    <w:rsid w:val="00361F26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364D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Заголовок №2_"/>
    <w:basedOn w:val="a0"/>
    <w:link w:val="20"/>
    <w:rsid w:val="00364D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sid w:val="00364D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1">
    <w:name w:val="Заголовок №1_"/>
    <w:basedOn w:val="a0"/>
    <w:link w:val="12"/>
    <w:rsid w:val="00364D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"/>
    <w:basedOn w:val="21"/>
    <w:rsid w:val="00364D33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Заголовок №3_"/>
    <w:basedOn w:val="a0"/>
    <w:link w:val="30"/>
    <w:rsid w:val="00364D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Основной текст (3)_"/>
    <w:basedOn w:val="a0"/>
    <w:link w:val="32"/>
    <w:rsid w:val="00364D33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311pt">
    <w:name w:val="Основной текст (3) + 11 pt;Не полужирный;Не курсив"/>
    <w:basedOn w:val="31"/>
    <w:rsid w:val="00364D33"/>
    <w:rPr>
      <w:b/>
      <w:bCs/>
      <w:i/>
      <w:i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24">
    <w:name w:val="Основной текст (2) + Полужирный"/>
    <w:basedOn w:val="21"/>
    <w:rsid w:val="00364D33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2Calibri105pt">
    <w:name w:val="Основной текст (2) + Calibri;10;5 pt"/>
    <w:basedOn w:val="21"/>
    <w:rsid w:val="00364D33"/>
    <w:rPr>
      <w:rFonts w:ascii="Calibri" w:eastAsia="Calibri" w:hAnsi="Calibri" w:cs="Calibri"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64D33"/>
    <w:pPr>
      <w:shd w:val="clear" w:color="auto" w:fill="FFFFFF"/>
      <w:spacing w:before="340" w:line="27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Заголовок №2"/>
    <w:basedOn w:val="a"/>
    <w:link w:val="2"/>
    <w:rsid w:val="00364D33"/>
    <w:pPr>
      <w:shd w:val="clear" w:color="auto" w:fill="FFFFFF"/>
      <w:spacing w:after="340" w:line="310" w:lineRule="exact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2">
    <w:name w:val="Заголовок №1"/>
    <w:basedOn w:val="a"/>
    <w:link w:val="11"/>
    <w:rsid w:val="00364D33"/>
    <w:pPr>
      <w:shd w:val="clear" w:color="auto" w:fill="FFFFFF"/>
      <w:spacing w:before="340" w:line="310" w:lineRule="exact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Заголовок №3"/>
    <w:basedOn w:val="a"/>
    <w:link w:val="3"/>
    <w:rsid w:val="00364D33"/>
    <w:pPr>
      <w:shd w:val="clear" w:color="auto" w:fill="FFFFFF"/>
      <w:spacing w:before="280" w:line="288" w:lineRule="exact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2">
    <w:name w:val="Основной текст (3)"/>
    <w:basedOn w:val="a"/>
    <w:link w:val="31"/>
    <w:rsid w:val="00364D33"/>
    <w:pPr>
      <w:shd w:val="clear" w:color="auto" w:fill="FFFFFF"/>
      <w:spacing w:line="288" w:lineRule="exact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10">
    <w:name w:val="Заголовок 1 Знак"/>
    <w:basedOn w:val="a0"/>
    <w:link w:val="1"/>
    <w:uiPriority w:val="9"/>
    <w:rsid w:val="00361F26"/>
    <w:rPr>
      <w:rFonts w:ascii="Times New Roman" w:eastAsia="Times New Roman" w:hAnsi="Times New Roman" w:cs="Times New Roman"/>
      <w:b/>
      <w:bCs/>
      <w:kern w:val="36"/>
      <w:sz w:val="48"/>
      <w:szCs w:val="48"/>
      <w:lang w:bidi="ar-SA"/>
    </w:rPr>
  </w:style>
  <w:style w:type="paragraph" w:styleId="a3">
    <w:name w:val="Normal (Web)"/>
    <w:basedOn w:val="a"/>
    <w:uiPriority w:val="99"/>
    <w:unhideWhenUsed/>
    <w:rsid w:val="00361F2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4">
    <w:name w:val="Strong"/>
    <w:basedOn w:val="a0"/>
    <w:uiPriority w:val="22"/>
    <w:qFormat/>
    <w:rsid w:val="00361F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8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547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2021-09-03T13:43:00Z</dcterms:created>
  <dcterms:modified xsi:type="dcterms:W3CDTF">2021-09-07T14:08:00Z</dcterms:modified>
</cp:coreProperties>
</file>